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19112</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Procedure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8.9.4.6</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heme="minorEastAsia"/>
                <w:b/>
                <w:u w:val="single"/>
                <w:lang w:eastAsia="zh-CN"/>
              </w:rPr>
            </w:pPr>
            <w:r>
              <w:rPr>
                <w:rFonts w:eastAsiaTheme="minorEastAsia"/>
                <w:b/>
                <w:u w:val="single"/>
                <w:lang w:eastAsia="zh-CN"/>
              </w:rPr>
              <w:t xml:space="preserve">PSS/SSS detection </w:t>
            </w:r>
            <w:r>
              <w:rPr>
                <w:rFonts w:hint="eastAsia" w:eastAsiaTheme="minorEastAsia"/>
                <w:b/>
                <w:u w:val="single"/>
                <w:lang w:eastAsia="zh-CN"/>
              </w:rPr>
              <w:t>&amp;</w:t>
            </w:r>
            <w:r>
              <w:rPr>
                <w:rFonts w:eastAsiaTheme="minorEastAsia"/>
                <w:b/>
                <w:u w:val="single"/>
                <w:lang w:eastAsia="zh-CN"/>
              </w:rPr>
              <w:t xml:space="preserve"> </w:t>
            </w:r>
            <w:r>
              <w:rPr>
                <w:rFonts w:hint="eastAsia" w:eastAsiaTheme="minorEastAsia"/>
                <w:b/>
                <w:u w:val="single"/>
                <w:lang w:eastAsia="zh-CN"/>
              </w:rPr>
              <w:t>intr</w:t>
            </w:r>
            <w:r>
              <w:rPr>
                <w:rFonts w:eastAsiaTheme="minorEastAsia"/>
                <w:b/>
                <w:u w:val="single"/>
                <w:lang w:eastAsia="zh-CN"/>
              </w:rPr>
              <w:t xml:space="preserve">a-frequency measurement </w:t>
            </w:r>
          </w:p>
          <w:p>
            <w:pPr>
              <w:pStyle w:val="27"/>
              <w:numPr>
                <w:ilvl w:val="0"/>
                <w:numId w:val="4"/>
              </w:numPr>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FFS whether to reuse the Rel-16 FR1 HST scaling factor M2 for FR2 HST or keep the 1.5 factor </w:t>
            </w:r>
          </w:p>
          <w:p>
            <w:pPr>
              <w:pStyle w:val="27"/>
              <w:numPr>
                <w:ilvl w:val="0"/>
                <w:numId w:val="4"/>
              </w:numPr>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Mpss/sss_sync_w/o_gaps and Mmeas_period_w/o_gaps is proportional to the number of samples (S) and of receiver sweeping beams (N)</w:t>
            </w:r>
          </w:p>
          <w:p>
            <w:pPr>
              <w:rPr>
                <w:rFonts w:eastAsiaTheme="minorEastAsia"/>
                <w:b/>
                <w:u w:val="single"/>
                <w:lang w:eastAsia="zh-CN"/>
              </w:rPr>
            </w:pPr>
            <w:r>
              <w:rPr>
                <w:rFonts w:eastAsiaTheme="minorEastAsia"/>
                <w:b/>
                <w:u w:val="single"/>
                <w:lang w:eastAsia="zh-CN"/>
              </w:rPr>
              <w:t xml:space="preserve">L1-RSRP measurement </w:t>
            </w:r>
          </w:p>
          <w:p>
            <w:pPr>
              <w:pStyle w:val="27"/>
              <w:numPr>
                <w:ilvl w:val="0"/>
                <w:numId w:val="4"/>
              </w:numPr>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whether to reuse the Rel-16 FR1 HST scaling factor K for FR2 HST L1-RSRP measurement requirement, with the same SMTC periodicity bound of 40ms or keep the 1.5 factor</w:t>
            </w:r>
          </w:p>
          <w:p>
            <w:pPr>
              <w:pStyle w:val="27"/>
              <w:numPr>
                <w:ilvl w:val="0"/>
                <w:numId w:val="4"/>
              </w:numPr>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Further enhancement can be considered if network assistant information is introduced. </w:t>
            </w:r>
          </w:p>
          <w:p>
            <w:pPr>
              <w:rPr>
                <w:rFonts w:eastAsiaTheme="minorEastAsia"/>
                <w:b/>
                <w:u w:val="single"/>
                <w:lang w:eastAsia="zh-CN"/>
              </w:rPr>
            </w:pPr>
            <w:r>
              <w:rPr>
                <w:rFonts w:hint="eastAsia" w:eastAsiaTheme="minorEastAsia"/>
                <w:b/>
                <w:u w:val="single"/>
                <w:lang w:eastAsia="zh-CN"/>
              </w:rPr>
              <w:t>N</w:t>
            </w:r>
            <w:r>
              <w:rPr>
                <w:rFonts w:eastAsiaTheme="minorEastAsia"/>
                <w:b/>
                <w:u w:val="single"/>
                <w:lang w:eastAsia="zh-CN"/>
              </w:rPr>
              <w:t xml:space="preserve">on-overlapping SSB location </w:t>
            </w:r>
          </w:p>
          <w:p>
            <w:pPr>
              <w:pStyle w:val="27"/>
              <w:numPr>
                <w:ilvl w:val="0"/>
                <w:numId w:val="4"/>
              </w:numPr>
              <w:ind w:firstLineChars="0"/>
              <w:rPr>
                <w:rFonts w:hint="default"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RRM requirements specified in RAN4 will NOT consider SSB overlapping case.</w:t>
            </w: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Based on the conclusion in 100 meeting, f</w:t>
      </w:r>
      <w:r>
        <w:rPr>
          <w:rFonts w:hint="eastAsia" w:eastAsia="宋体"/>
          <w:kern w:val="2"/>
          <w:sz w:val="20"/>
          <w:szCs w:val="20"/>
          <w:lang w:val="en-US" w:eastAsia="zh-CN"/>
        </w:rPr>
        <w:t>or measurement procedure, several issues were determined, but some issues are still open, we provide our analysis for the following issues:</w:t>
      </w:r>
    </w:p>
    <w:p>
      <w:pPr>
        <w:pStyle w:val="15"/>
        <w:keepNext w:val="0"/>
        <w:keepLines w:val="0"/>
        <w:pageBreakBefore w:val="0"/>
        <w:widowControl/>
        <w:numPr>
          <w:ilvl w:val="1"/>
          <w:numId w:val="5"/>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 xml:space="preserve">PSS/SSS detection &amp; intra-frequency measurement </w:t>
      </w:r>
    </w:p>
    <w:p>
      <w:pPr>
        <w:pStyle w:val="15"/>
        <w:keepNext w:val="0"/>
        <w:keepLines w:val="0"/>
        <w:pageBreakBefore w:val="0"/>
        <w:widowControl/>
        <w:numPr>
          <w:ilvl w:val="1"/>
          <w:numId w:val="5"/>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bookmarkStart w:id="0" w:name="OLE_LINK2"/>
      <w:r>
        <w:rPr>
          <w:rFonts w:hint="eastAsia" w:ascii="Times New Roman" w:hAnsi="Times New Roman" w:cs="Times New Roman"/>
          <w:color w:val="auto"/>
          <w:sz w:val="20"/>
          <w:szCs w:val="20"/>
          <w:lang w:val="en-US" w:eastAsia="zh-CN" w:bidi="ar-SA"/>
        </w:rPr>
        <w:t>L1-RSRP measurement</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r>
        <w:rPr>
          <w:rFonts w:hint="eastAsia"/>
          <w:color w:val="auto"/>
          <w:sz w:val="28"/>
          <w:szCs w:val="28"/>
          <w:lang w:val="en-US" w:eastAsia="zh-CN"/>
        </w:rPr>
        <w:t>2.1 PSS/SSS detection &amp; intra-frequency measurement</w:t>
      </w:r>
    </w:p>
    <w:p>
      <w:pPr>
        <w:pStyle w:val="3"/>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According to Table 9.2.5.1-1/-2 in [2], PSS/SSS detection for intra-frequency measurement without gap is shown as follow. In Rel-16 FR1 HST, for DRX cycle</w:t>
      </w:r>
      <w:r>
        <w:rPr>
          <w:rFonts w:hint="eastAsia"/>
          <w:lang w:val="en-US"/>
        </w:rPr>
        <w:t>≤</w:t>
      </w:r>
      <w:r>
        <w:rPr>
          <w:rFonts w:hint="eastAsia" w:eastAsia="宋体"/>
          <w:lang w:val="en-US" w:eastAsia="zh-CN"/>
        </w:rPr>
        <w:t xml:space="preserve">320ms case, replace 1.5 into M2, so as to enhance the small SMTC periodicity case. For the small SMTC periodicity case, decrease M2 from 1.5 to 1, since UE can obtain more measurement samples for such case, even shorten the PSS/SSS detection time period, the measurement accuracy can still be guaranteed. </w:t>
      </w:r>
      <w:r>
        <w:rPr>
          <w:rFonts w:hint="eastAsia" w:eastAsia="宋体"/>
          <w:color w:val="auto"/>
          <w:sz w:val="20"/>
          <w:szCs w:val="20"/>
          <w:highlight w:val="none"/>
          <w:lang w:val="en-US" w:eastAsia="zh-CN"/>
        </w:rPr>
        <w:t xml:space="preserve"> </w:t>
      </w:r>
    </w:p>
    <w:p>
      <w:pPr>
        <w:pStyle w:val="35"/>
      </w:pPr>
      <w:r>
        <w:t>Table 9.2.5.1-1: Time period for PSS/SSS detection, (Frequency range FR1)</w:t>
      </w:r>
    </w:p>
    <w:tbl>
      <w:tblPr>
        <w:tblStyle w:val="16"/>
        <w:tblW w:w="8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4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2"/>
            </w:pPr>
            <w:r>
              <w:t>DRX cycle</w:t>
            </w:r>
          </w:p>
        </w:tc>
        <w:tc>
          <w:tcPr>
            <w:tcW w:w="4554"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No DRX</w:t>
            </w:r>
          </w:p>
        </w:tc>
        <w:tc>
          <w:tcPr>
            <w:tcW w:w="4554" w:type="dxa"/>
            <w:tcBorders>
              <w:top w:val="single" w:color="auto" w:sz="4" w:space="0"/>
              <w:left w:val="single" w:color="auto" w:sz="4" w:space="0"/>
              <w:bottom w:val="single" w:color="auto" w:sz="4" w:space="0"/>
              <w:right w:val="single" w:color="auto" w:sz="4" w:space="0"/>
            </w:tcBorders>
          </w:tcPr>
          <w:p>
            <w:pPr>
              <w:pStyle w:val="33"/>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554" w:type="dxa"/>
            <w:tcBorders>
              <w:top w:val="single" w:color="auto" w:sz="4" w:space="0"/>
              <w:left w:val="single" w:color="auto" w:sz="4" w:space="0"/>
              <w:bottom w:val="single" w:color="auto" w:sz="4" w:space="0"/>
              <w:right w:val="single" w:color="auto" w:sz="4" w:space="0"/>
            </w:tcBorders>
          </w:tcPr>
          <w:p>
            <w:pPr>
              <w:pStyle w:val="33"/>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DRX cycle&gt;320ms</w:t>
            </w:r>
          </w:p>
        </w:tc>
        <w:tc>
          <w:tcPr>
            <w:tcW w:w="4554" w:type="dxa"/>
            <w:tcBorders>
              <w:top w:val="single" w:color="auto" w:sz="4" w:space="0"/>
              <w:left w:val="single" w:color="auto" w:sz="4" w:space="0"/>
              <w:bottom w:val="single" w:color="auto" w:sz="4" w:space="0"/>
              <w:right w:val="single" w:color="auto" w:sz="4" w:space="0"/>
            </w:tcBorders>
          </w:tcPr>
          <w:p>
            <w:pPr>
              <w:pStyle w:val="33"/>
              <w:rPr>
                <w:b/>
              </w:rPr>
            </w:pPr>
            <w:r>
              <w:t>ceil(5 x K</w:t>
            </w:r>
            <w:r>
              <w:rPr>
                <w:vertAlign w:val="subscript"/>
              </w:rPr>
              <w:t>p</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04" w:type="dxa"/>
            <w:gridSpan w:val="2"/>
            <w:tcBorders>
              <w:top w:val="single" w:color="auto" w:sz="4" w:space="0"/>
              <w:left w:val="single" w:color="auto" w:sz="4" w:space="0"/>
              <w:bottom w:val="single" w:color="auto" w:sz="4" w:space="0"/>
              <w:right w:val="single" w:color="auto" w:sz="4" w:space="0"/>
            </w:tcBorders>
          </w:tcPr>
          <w:p>
            <w:pPr>
              <w:pStyle w:val="51"/>
            </w:pPr>
            <w:r>
              <w:t>NOTE 1:</w:t>
            </w:r>
            <w:r>
              <w:tab/>
            </w:r>
            <w:r>
              <w:t>If different SMTC periodicities are configured for different cells, the SMTC period in the requirement is the one used by the cell being identified</w:t>
            </w:r>
          </w:p>
          <w:p>
            <w:pPr>
              <w:pStyle w:val="51"/>
            </w:pPr>
            <w:r>
              <w:t xml:space="preserve">NOTE </w:t>
            </w:r>
            <w:r>
              <w:rPr>
                <w:rFonts w:hint="eastAsia"/>
              </w:rPr>
              <w:t>2</w:t>
            </w:r>
            <w:r>
              <w:t>:</w:t>
            </w:r>
            <w:r>
              <w:tab/>
            </w:r>
            <w:r>
              <w:rPr>
                <w:rFonts w:hint="eastAsia"/>
              </w:rPr>
              <w:t>When</w:t>
            </w:r>
            <w:r>
              <w:t xml:space="preserve"> </w:t>
            </w:r>
            <w:r>
              <w:rPr>
                <w:rFonts w:hint="eastAsia" w:eastAsiaTheme="minorEastAsia"/>
                <w:lang w:eastAsia="zh-CN"/>
              </w:rPr>
              <w:t>RRM enhancement for high speed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hint="eastAsia" w:eastAsiaTheme="minorEastAsia"/>
                <w:lang w:eastAsia="zh-CN"/>
              </w:rPr>
              <w:t>RRM enhancement for high speed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tc>
      </w:tr>
    </w:tbl>
    <w:p>
      <w:pPr>
        <w:pStyle w:val="3"/>
        <w:rPr>
          <w:rFonts w:hint="default" w:eastAsia="宋体"/>
          <w:color w:val="auto"/>
          <w:sz w:val="20"/>
          <w:szCs w:val="20"/>
          <w:highlight w:val="none"/>
          <w:lang w:val="en-US" w:eastAsia="zh-CN"/>
        </w:rPr>
      </w:pPr>
    </w:p>
    <w:p>
      <w:pPr>
        <w:pStyle w:val="35"/>
      </w:pPr>
      <w:r>
        <w:t>Table 9.2.5.1-2: Time period for PSS/SSS detection, (Frequency range FR2)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2"/>
            </w:pPr>
            <w:r>
              <w:t>DRX cycle</w:t>
            </w:r>
          </w:p>
        </w:tc>
        <w:tc>
          <w:tcPr>
            <w:tcW w:w="4621"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pPr>
            <w:r>
              <w:t>No DRX</w:t>
            </w:r>
          </w:p>
        </w:tc>
        <w:tc>
          <w:tcPr>
            <w:tcW w:w="4621" w:type="dxa"/>
            <w:tcBorders>
              <w:top w:val="single" w:color="auto" w:sz="4" w:space="0"/>
              <w:left w:val="single" w:color="auto" w:sz="4" w:space="0"/>
              <w:bottom w:val="single" w:color="auto" w:sz="4" w:space="0"/>
              <w:right w:val="single" w:color="auto" w:sz="4" w:space="0"/>
            </w:tcBorders>
          </w:tcPr>
          <w:p>
            <w:pPr>
              <w:pStyle w:val="33"/>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max(600ms, ceil(</w:t>
            </w:r>
            <w:r>
              <w:rPr>
                <w:highlight w:val="yellow"/>
              </w:rPr>
              <w:t>1.5</w:t>
            </w:r>
            <w:r>
              <w:t xml:space="preserve">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1"/>
              <w:rPr>
                <w:i/>
              </w:rPr>
            </w:pPr>
            <w:r>
              <w:t>NOTE 1:</w:t>
            </w:r>
            <w:r>
              <w:tab/>
            </w:r>
            <w:r>
              <w:t>If different SMTC periodicities are configured for different cells, the SMTC period in the requirement is the one used by the cell being identified</w:t>
            </w:r>
          </w:p>
        </w:tc>
      </w:tr>
    </w:tbl>
    <w:p>
      <w:pPr>
        <w:pStyle w:val="3"/>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FR2 HST, the logic is the same as FR1 HST. So we believe the same enhancement can be applied as Rel-16 FR1 HST, i.e. replace 1.5 by M2, and for the case of short SMTC periodicity case, M2 can be shorter.</w:t>
      </w:r>
    </w:p>
    <w:p>
      <w:pPr>
        <w:pStyle w:val="3"/>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reusing the Rel-16 FR1 HST scaling factor M2 for FR2 HST or keep the 1.5 factor.</w:t>
      </w:r>
    </w:p>
    <w:p>
      <w:pPr>
        <w:pStyle w:val="4"/>
        <w:bidi w:val="0"/>
        <w:rPr>
          <w:rFonts w:hint="eastAsia"/>
          <w:color w:val="auto"/>
          <w:sz w:val="28"/>
          <w:szCs w:val="28"/>
          <w:lang w:val="en-US" w:eastAsia="zh-CN"/>
        </w:rPr>
      </w:pPr>
      <w:r>
        <w:rPr>
          <w:rFonts w:hint="eastAsia"/>
          <w:color w:val="auto"/>
          <w:sz w:val="28"/>
          <w:szCs w:val="28"/>
          <w:lang w:val="en-US" w:eastAsia="zh-CN"/>
        </w:rPr>
        <w:t>2.2 L1-RSRP measurement</w:t>
      </w:r>
    </w:p>
    <w:p>
      <w:pPr>
        <w:bidi w:val="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According to Table 9.5.4.1-1/-2 in [2], the L1-RSRP measurement period based on SSB is shown as follow:</w:t>
      </w:r>
    </w:p>
    <w:p>
      <w:pPr>
        <w:pStyle w:val="35"/>
      </w:pPr>
      <w:r>
        <w:rPr>
          <w:rFonts w:hint="eastAsia" w:eastAsia="宋体"/>
          <w:color w:val="auto"/>
          <w:sz w:val="20"/>
          <w:szCs w:val="20"/>
          <w:highlight w:val="none"/>
          <w:lang w:val="en-US" w:eastAsia="zh-CN"/>
        </w:rPr>
        <w:t xml:space="preserve"> </w:t>
      </w:r>
      <w:r>
        <w:t>Table 9.5.4.1-1: Measurement period T</w:t>
      </w:r>
      <w:r>
        <w:rPr>
          <w:vertAlign w:val="subscript"/>
        </w:rPr>
        <w:t>L1-RSRP_Measurement_Period_SSB</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t>max(T</w:t>
            </w:r>
            <w:r>
              <w:rPr>
                <w:vertAlign w:val="subscript"/>
              </w:rPr>
              <w:t>Report</w:t>
            </w:r>
            <w:r>
              <w:t>, ceil(M*P)*T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51"/>
            </w:pPr>
            <w:r>
              <w:t>Note 2:</w:t>
            </w:r>
            <w:r>
              <w:tab/>
            </w:r>
            <w:r>
              <w:t>K = 1 when T</w:t>
            </w:r>
            <w:r>
              <w:rPr>
                <w:vertAlign w:val="subscript"/>
              </w:rPr>
              <w:t>SSB</w:t>
            </w:r>
            <w:r>
              <w:t xml:space="preserve"> ≤ 40 ms and </w:t>
            </w:r>
            <w:r>
              <w:rPr>
                <w:i/>
                <w:iCs/>
              </w:rPr>
              <w:t>highSpeedMeasFlag-r16</w:t>
            </w:r>
            <w:r>
              <w:t xml:space="preserve"> are configured; otherwise K = 1.5.</w:t>
            </w:r>
          </w:p>
        </w:tc>
      </w:tr>
    </w:tbl>
    <w:p>
      <w:pPr>
        <w:pStyle w:val="35"/>
      </w:pPr>
      <w:r>
        <w:t>Table 9.5.4.1-2: Measurement period T</w:t>
      </w:r>
      <w:r>
        <w:rPr>
          <w:vertAlign w:val="subscript"/>
        </w:rPr>
        <w:t>L1-RSRP_Measurement_Period_SSB</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ceil(M*P*N)*T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w:t>
            </w:r>
            <w:r>
              <w:rPr>
                <w:rFonts w:cs="v4.2.0"/>
                <w:highlight w:val="yellow"/>
              </w:rPr>
              <w:t>1.5</w:t>
            </w:r>
            <w:r>
              <w:rPr>
                <w:rFonts w:cs="v4.2.0"/>
              </w:rPr>
              <w:t>*M*P*N)*max(T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ceil(1.5*M*P*N)*T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bidi w:val="0"/>
        <w:rPr>
          <w:rFonts w:hint="eastAsia" w:eastAsia="宋体"/>
          <w:lang w:val="en-US" w:eastAsia="zh-CN"/>
        </w:rPr>
      </w:pPr>
      <w:r>
        <w:rPr>
          <w:rFonts w:hint="eastAsia" w:eastAsia="宋体"/>
          <w:color w:val="auto"/>
          <w:sz w:val="20"/>
          <w:szCs w:val="20"/>
          <w:highlight w:val="none"/>
          <w:lang w:val="en-US" w:eastAsia="zh-CN"/>
        </w:rPr>
        <w:t>In Rel-16 FR1 HST, for DRX cycle</w:t>
      </w:r>
      <w:r>
        <w:rPr>
          <w:rFonts w:hint="eastAsia"/>
          <w:lang w:val="en-US"/>
        </w:rPr>
        <w:t>≤</w:t>
      </w:r>
      <w:r>
        <w:rPr>
          <w:rFonts w:hint="eastAsia" w:eastAsia="宋体"/>
          <w:lang w:val="en-US" w:eastAsia="zh-CN"/>
        </w:rPr>
        <w:t>320ms case, replace 1.5 into K, so as to enhance the small SMTC periodicity case. For the small SMTC periodicity case, decrease K from 1.5 to 1, since UE can obtain more measurement samples for such case, even shorten the L1-RSRP measurement period, the measurement accuracy can still be guaranteed.</w:t>
      </w:r>
    </w:p>
    <w:p>
      <w:pPr>
        <w:pStyle w:val="3"/>
        <w:rPr>
          <w:rFonts w:hint="eastAsia" w:eastAsia="宋体"/>
          <w:color w:val="auto"/>
          <w:sz w:val="20"/>
          <w:szCs w:val="20"/>
          <w:highlight w:val="none"/>
          <w:lang w:val="en-US" w:eastAsia="zh-CN"/>
        </w:rPr>
      </w:pPr>
      <w:r>
        <w:rPr>
          <w:rFonts w:hint="eastAsia" w:eastAsia="宋体"/>
          <w:lang w:val="en-US" w:eastAsia="zh-CN"/>
        </w:rPr>
        <w:t>Similar as PSS/SSS detection, f</w:t>
      </w:r>
      <w:r>
        <w:rPr>
          <w:rFonts w:hint="eastAsia" w:eastAsia="宋体"/>
          <w:color w:val="auto"/>
          <w:sz w:val="20"/>
          <w:szCs w:val="20"/>
          <w:highlight w:val="none"/>
          <w:lang w:val="en-US" w:eastAsia="zh-CN"/>
        </w:rPr>
        <w:t>or FR2 HST, we believe the logic is the same as FR1 HST. So we believe the same enhancement can be applied as Rel-16 FR1 HST, i.e. replace 1.5 by K, and for the case of short SMTC periodicity case, M2 can be shorter.</w:t>
      </w:r>
    </w:p>
    <w:p>
      <w:pPr>
        <w:pStyle w:val="3"/>
        <w:rPr>
          <w:rFonts w:hint="default" w:eastAsia="宋体"/>
          <w:color w:val="auto"/>
          <w:sz w:val="20"/>
          <w:szCs w:val="20"/>
          <w:highlight w:val="lightGray"/>
          <w:lang w:val="en-US" w:eastAsia="zh-CN"/>
        </w:rPr>
      </w:pPr>
      <w:r>
        <w:rPr>
          <w:rFonts w:hint="eastAsia" w:eastAsia="宋体" w:cs="Times New Roman"/>
          <w:b/>
          <w:bCs/>
          <w:color w:val="auto"/>
          <w:sz w:val="20"/>
          <w:szCs w:val="20"/>
          <w:highlight w:val="none"/>
          <w:lang w:val="en-US" w:eastAsia="zh-CN" w:bidi="ar-SA"/>
        </w:rPr>
        <w:t>Proposal 2: reusing the Rel-16 FR1 HST scaling factor K for FR2 HST L1-RSRP measurement requirement, with the same SMTC periodicity bound of 40ms.</w:t>
      </w:r>
      <w:bookmarkStart w:id="1" w:name="OLE_LINK1"/>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CONNECTED and IDLE/INACTIVE state requirements enhancement</w:t>
      </w:r>
      <w:r>
        <w:rPr>
          <w:rFonts w:eastAsia="宋体"/>
          <w:bCs/>
          <w:color w:val="auto"/>
          <w:sz w:val="20"/>
          <w:szCs w:val="20"/>
          <w:lang w:val="en-GB" w:eastAsia="zh-CN"/>
        </w:rPr>
        <w:t>:</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1: </w:t>
      </w:r>
      <w:r>
        <w:rPr>
          <w:rFonts w:hint="eastAsia" w:eastAsia="宋体" w:cs="Times New Roman"/>
          <w:b/>
          <w:bCs/>
          <w:color w:val="auto"/>
          <w:sz w:val="20"/>
          <w:szCs w:val="20"/>
          <w:highlight w:val="none"/>
          <w:lang w:val="en-US" w:eastAsia="zh-CN" w:bidi="ar-SA"/>
        </w:rPr>
        <w:t>reusing the Rel-16 FR1 HST scaling factor M2 for FR2 HST or keep the 1.5 factor.</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2: </w:t>
      </w:r>
      <w:r>
        <w:rPr>
          <w:rFonts w:hint="eastAsia" w:eastAsia="宋体" w:cs="Times New Roman"/>
          <w:b/>
          <w:bCs/>
          <w:color w:val="auto"/>
          <w:sz w:val="20"/>
          <w:szCs w:val="20"/>
          <w:highlight w:val="none"/>
          <w:lang w:val="en-US" w:eastAsia="zh-CN" w:bidi="ar-SA"/>
        </w:rPr>
        <w:t>reusing the Rel-16 FR1 HST scaling factor K for FR2 HST L1-RSRP measurement requirement, with the same SMTC periodicity bound of 40ms.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lang w:val="en-US" w:eastAsia="zh-CN"/>
        </w:rPr>
      </w:pPr>
      <w:r>
        <w:rPr>
          <w:rFonts w:hint="eastAsia"/>
          <w:color w:val="auto"/>
          <w:lang w:val="en-US" w:eastAsia="zh-CN"/>
        </w:rPr>
        <w:t>R4-2</w:t>
      </w:r>
      <w:r>
        <w:rPr>
          <w:rFonts w:hint="eastAsia"/>
          <w:color w:val="auto"/>
          <w:highlight w:val="none"/>
          <w:lang w:val="en-US" w:eastAsia="zh-CN"/>
        </w:rPr>
        <w:t>115335</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part 2</w:t>
      </w:r>
      <w:r>
        <w:rPr>
          <w:rFonts w:hint="default"/>
          <w:color w:val="auto"/>
          <w:lang w:val="en-US" w:eastAsia="zh-CN"/>
        </w:rPr>
        <w:t>”</w:t>
      </w:r>
      <w:r>
        <w:rPr>
          <w:rFonts w:hint="eastAsia"/>
          <w:color w:val="auto"/>
          <w:lang w:val="en-US" w:eastAsia="zh-CN"/>
        </w:rPr>
        <w:t xml:space="preserve">, RAN4#100 e-meeting, Samsung.  </w:t>
      </w:r>
    </w:p>
    <w:p>
      <w:pPr>
        <w:pStyle w:val="9"/>
        <w:rPr>
          <w:rFonts w:hint="default" w:eastAsia="宋体"/>
          <w:color w:val="auto"/>
          <w:lang w:val="en-US" w:eastAsia="zh-CN"/>
        </w:rPr>
      </w:pPr>
      <w:r>
        <w:rPr>
          <w:rFonts w:hint="eastAsia"/>
          <w:color w:val="auto"/>
          <w:lang w:val="en-US" w:eastAsia="zh-CN"/>
        </w:rPr>
        <w:t xml:space="preserve">TS 38.133-h20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C42923"/>
    <w:rsid w:val="06963BA6"/>
    <w:rsid w:val="07CD3CDD"/>
    <w:rsid w:val="0855671D"/>
    <w:rsid w:val="089009EB"/>
    <w:rsid w:val="09716BCA"/>
    <w:rsid w:val="09E644B8"/>
    <w:rsid w:val="0B3D3C2F"/>
    <w:rsid w:val="0BB0429A"/>
    <w:rsid w:val="0BFF5FC6"/>
    <w:rsid w:val="10997F43"/>
    <w:rsid w:val="10DE7BAE"/>
    <w:rsid w:val="120774A3"/>
    <w:rsid w:val="1481754F"/>
    <w:rsid w:val="148F5721"/>
    <w:rsid w:val="14AC57CD"/>
    <w:rsid w:val="164514BE"/>
    <w:rsid w:val="170F06AA"/>
    <w:rsid w:val="17225508"/>
    <w:rsid w:val="180A6E32"/>
    <w:rsid w:val="183F2CD2"/>
    <w:rsid w:val="18B1519A"/>
    <w:rsid w:val="18CD0507"/>
    <w:rsid w:val="195D7D48"/>
    <w:rsid w:val="1AD01A1B"/>
    <w:rsid w:val="1B61065A"/>
    <w:rsid w:val="1BBF3927"/>
    <w:rsid w:val="1C177B08"/>
    <w:rsid w:val="1C9001C6"/>
    <w:rsid w:val="1CBA2101"/>
    <w:rsid w:val="1D0573D7"/>
    <w:rsid w:val="1D153DC4"/>
    <w:rsid w:val="1D223E0B"/>
    <w:rsid w:val="1E2867E9"/>
    <w:rsid w:val="1E853F6F"/>
    <w:rsid w:val="1E9C7BCC"/>
    <w:rsid w:val="1ECC1E3C"/>
    <w:rsid w:val="1EE717DB"/>
    <w:rsid w:val="21014C39"/>
    <w:rsid w:val="21244EB1"/>
    <w:rsid w:val="213964D8"/>
    <w:rsid w:val="21F13629"/>
    <w:rsid w:val="24122135"/>
    <w:rsid w:val="24D4257E"/>
    <w:rsid w:val="2605683C"/>
    <w:rsid w:val="26BB1419"/>
    <w:rsid w:val="281C2F58"/>
    <w:rsid w:val="29642C4B"/>
    <w:rsid w:val="2A34628C"/>
    <w:rsid w:val="2A724D05"/>
    <w:rsid w:val="2A7E505C"/>
    <w:rsid w:val="2BC05B2C"/>
    <w:rsid w:val="2BD617C5"/>
    <w:rsid w:val="2C112837"/>
    <w:rsid w:val="2E014790"/>
    <w:rsid w:val="2EE77680"/>
    <w:rsid w:val="2F2F0FC8"/>
    <w:rsid w:val="301C6BB6"/>
    <w:rsid w:val="319708F2"/>
    <w:rsid w:val="31B14C9E"/>
    <w:rsid w:val="33C522D7"/>
    <w:rsid w:val="34807672"/>
    <w:rsid w:val="35B06C6A"/>
    <w:rsid w:val="36941AA2"/>
    <w:rsid w:val="36D37423"/>
    <w:rsid w:val="379D23F9"/>
    <w:rsid w:val="3A185287"/>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142D0C"/>
    <w:rsid w:val="46B036BF"/>
    <w:rsid w:val="47282363"/>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98C40A0"/>
    <w:rsid w:val="59DA647E"/>
    <w:rsid w:val="5A556E1A"/>
    <w:rsid w:val="5E494511"/>
    <w:rsid w:val="5EB44FC0"/>
    <w:rsid w:val="5FBA395F"/>
    <w:rsid w:val="635902CD"/>
    <w:rsid w:val="64706BBE"/>
    <w:rsid w:val="64F2095B"/>
    <w:rsid w:val="67A858DB"/>
    <w:rsid w:val="68C401C3"/>
    <w:rsid w:val="69A833BD"/>
    <w:rsid w:val="6D836F72"/>
    <w:rsid w:val="6DDE3DAF"/>
    <w:rsid w:val="6E3241BE"/>
    <w:rsid w:val="6EB97A9D"/>
    <w:rsid w:val="6EF10A90"/>
    <w:rsid w:val="6FFF1868"/>
    <w:rsid w:val="715F4C2D"/>
    <w:rsid w:val="722F78FB"/>
    <w:rsid w:val="72BF60CA"/>
    <w:rsid w:val="733D0D32"/>
    <w:rsid w:val="753811DE"/>
    <w:rsid w:val="75BE67D4"/>
    <w:rsid w:val="75C759C1"/>
    <w:rsid w:val="762D64F3"/>
    <w:rsid w:val="775B4604"/>
    <w:rsid w:val="77C067C3"/>
    <w:rsid w:val="78911E31"/>
    <w:rsid w:val="7A9367CB"/>
    <w:rsid w:val="7AF22571"/>
    <w:rsid w:val="7B69224B"/>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2021-10-22T15:12:02Z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